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364F" w14:textId="77777777" w:rsidR="004F10C2" w:rsidRDefault="004F10C2" w:rsidP="00DE5E81">
      <w:pPr>
        <w:ind w:left="1888" w:firstLine="720"/>
        <w:rPr>
          <w:rFonts w:asciiTheme="majorHAnsi" w:hAnsiTheme="majorHAnsi" w:cstheme="majorHAnsi"/>
          <w:b/>
          <w:bCs/>
          <w:sz w:val="28"/>
        </w:rPr>
      </w:pPr>
      <w:bookmarkStart w:id="0" w:name="_Hlk74301696"/>
    </w:p>
    <w:p w14:paraId="5C54F283" w14:textId="62C6C68F" w:rsidR="007A1DCA" w:rsidRPr="00DE5E81" w:rsidRDefault="007A1DCA" w:rsidP="00DE5E81">
      <w:pPr>
        <w:ind w:left="1888" w:firstLine="720"/>
        <w:rPr>
          <w:rFonts w:asciiTheme="majorHAnsi" w:hAnsiTheme="majorHAnsi" w:cstheme="majorHAnsi"/>
          <w:b/>
          <w:bCs/>
          <w:sz w:val="28"/>
        </w:rPr>
      </w:pPr>
      <w:proofErr w:type="spellStart"/>
      <w:r w:rsidRPr="00DE5E81">
        <w:rPr>
          <w:rFonts w:asciiTheme="majorHAnsi" w:hAnsiTheme="majorHAnsi" w:cstheme="majorHAnsi"/>
          <w:b/>
          <w:bCs/>
          <w:sz w:val="28"/>
        </w:rPr>
        <w:t>Adenotomi</w:t>
      </w:r>
      <w:proofErr w:type="spellEnd"/>
      <w:r w:rsidRPr="00DE5E81">
        <w:rPr>
          <w:rFonts w:asciiTheme="majorHAnsi" w:hAnsiTheme="majorHAnsi" w:cstheme="majorHAnsi"/>
          <w:b/>
          <w:bCs/>
          <w:sz w:val="28"/>
        </w:rPr>
        <w:t xml:space="preserve"> eller fjernelse af børnepolypper</w:t>
      </w:r>
    </w:p>
    <w:p w14:paraId="2FE0A087" w14:textId="77777777" w:rsidR="007A1DCA" w:rsidRPr="00DE5E81" w:rsidRDefault="007A1DCA" w:rsidP="007A1DCA">
      <w:pPr>
        <w:rPr>
          <w:rFonts w:asciiTheme="majorHAnsi" w:hAnsiTheme="majorHAnsi" w:cstheme="majorHAnsi"/>
        </w:rPr>
      </w:pPr>
    </w:p>
    <w:p w14:paraId="2AABCAAA" w14:textId="0B543B67" w:rsidR="007A1DCA" w:rsidRPr="00DE5E81" w:rsidRDefault="007A1DCA" w:rsidP="007A1DCA">
      <w:pPr>
        <w:rPr>
          <w:rFonts w:asciiTheme="majorHAnsi" w:hAnsiTheme="majorHAnsi" w:cstheme="majorHAnsi"/>
        </w:rPr>
      </w:pPr>
      <w:r w:rsidRPr="00DE5E81">
        <w:rPr>
          <w:rFonts w:asciiTheme="majorHAnsi" w:hAnsiTheme="majorHAnsi" w:cstheme="majorHAnsi"/>
          <w:b/>
          <w:bCs/>
        </w:rPr>
        <w:t>Hvad er børnepolypper?:</w:t>
      </w:r>
      <w:r w:rsidRPr="00DE5E81">
        <w:rPr>
          <w:rFonts w:asciiTheme="majorHAnsi" w:hAnsiTheme="majorHAnsi" w:cstheme="majorHAnsi"/>
        </w:rPr>
        <w:t xml:space="preserve"> Forstørret normalt lymfekirtelvæv (</w:t>
      </w:r>
      <w:proofErr w:type="spellStart"/>
      <w:r w:rsidRPr="00DE5E81">
        <w:rPr>
          <w:rFonts w:asciiTheme="majorHAnsi" w:hAnsiTheme="majorHAnsi" w:cstheme="majorHAnsi"/>
        </w:rPr>
        <w:t>vegetationes</w:t>
      </w:r>
      <w:proofErr w:type="spellEnd"/>
      <w:r w:rsidRPr="00DE5E81">
        <w:rPr>
          <w:rFonts w:asciiTheme="majorHAnsi" w:hAnsiTheme="majorHAnsi" w:cstheme="majorHAnsi"/>
        </w:rPr>
        <w:t xml:space="preserve"> adenoides) i næsesvælget. Ved aflukning af næsesvælget kan der opstå snøvl, væske i mellem ørerne, snorken og vejrtrækningspauser under søvn.</w:t>
      </w:r>
    </w:p>
    <w:p w14:paraId="1B8AB5AD" w14:textId="77777777" w:rsidR="007A1DCA" w:rsidRPr="00DE5E81" w:rsidRDefault="007A1DCA" w:rsidP="007A1DCA">
      <w:pPr>
        <w:rPr>
          <w:rFonts w:asciiTheme="majorHAnsi" w:hAnsiTheme="majorHAnsi" w:cstheme="majorHAnsi"/>
        </w:rPr>
      </w:pPr>
      <w:r w:rsidRPr="00DE5E81">
        <w:rPr>
          <w:rFonts w:asciiTheme="majorHAnsi" w:hAnsiTheme="majorHAnsi" w:cstheme="majorHAnsi"/>
          <w:b/>
          <w:bCs/>
        </w:rPr>
        <w:t>Operationen:</w:t>
      </w:r>
      <w:r w:rsidRPr="00DE5E81">
        <w:rPr>
          <w:rFonts w:asciiTheme="majorHAnsi" w:hAnsiTheme="majorHAnsi" w:cstheme="majorHAnsi"/>
        </w:rPr>
        <w:t xml:space="preserve"> Foretages i fuld bedøvelse, hvor patienten har et rør i luftrøret. Herefter fjerner man børnepolypperne gennem munden. </w:t>
      </w:r>
    </w:p>
    <w:p w14:paraId="33686020"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 xml:space="preserve">Indgrebet med bedøvelse varer 20-30 minutter. </w:t>
      </w:r>
    </w:p>
    <w:p w14:paraId="1A299FCB" w14:textId="397790D8" w:rsidR="007A1DCA" w:rsidRPr="00DE5E81" w:rsidRDefault="007A1DCA" w:rsidP="007A1DCA">
      <w:pPr>
        <w:rPr>
          <w:rFonts w:asciiTheme="majorHAnsi" w:hAnsiTheme="majorHAnsi" w:cstheme="majorHAnsi"/>
        </w:rPr>
      </w:pPr>
      <w:r w:rsidRPr="00DE5E81">
        <w:rPr>
          <w:rFonts w:asciiTheme="majorHAnsi" w:hAnsiTheme="majorHAnsi" w:cstheme="majorHAnsi"/>
        </w:rPr>
        <w:t>Der kommer et sår i næsesvælget svarende til en hudafskrabning, som heler op.</w:t>
      </w:r>
    </w:p>
    <w:p w14:paraId="4986B28E" w14:textId="066D6036" w:rsidR="007A1DCA" w:rsidRPr="00DE5E81" w:rsidRDefault="007A1DCA" w:rsidP="007A1DCA">
      <w:pPr>
        <w:rPr>
          <w:rFonts w:asciiTheme="majorHAnsi" w:hAnsiTheme="majorHAnsi" w:cstheme="majorHAnsi"/>
        </w:rPr>
      </w:pPr>
      <w:r w:rsidRPr="00DE5E81">
        <w:rPr>
          <w:rFonts w:asciiTheme="majorHAnsi" w:hAnsiTheme="majorHAnsi" w:cstheme="majorHAnsi"/>
          <w:b/>
          <w:bCs/>
        </w:rPr>
        <w:t>Risici:</w:t>
      </w:r>
      <w:r w:rsidRPr="00DE5E81">
        <w:rPr>
          <w:rFonts w:asciiTheme="majorHAnsi" w:hAnsiTheme="majorHAnsi" w:cstheme="majorHAnsi"/>
        </w:rPr>
        <w:t xml:space="preserve"> Kan komme igen, smerter og sjældent blødning.</w:t>
      </w:r>
    </w:p>
    <w:p w14:paraId="4F7CD457" w14:textId="77777777" w:rsidR="007A1DCA" w:rsidRPr="00DE5E81" w:rsidRDefault="007A1DCA" w:rsidP="007A1DCA">
      <w:pPr>
        <w:rPr>
          <w:rFonts w:asciiTheme="majorHAnsi" w:hAnsiTheme="majorHAnsi" w:cstheme="majorHAnsi"/>
        </w:rPr>
      </w:pPr>
      <w:r w:rsidRPr="00DE5E81">
        <w:rPr>
          <w:rFonts w:asciiTheme="majorHAnsi" w:hAnsiTheme="majorHAnsi" w:cstheme="majorHAnsi"/>
          <w:b/>
          <w:bCs/>
        </w:rPr>
        <w:t>Bedøvelse og faste:</w:t>
      </w:r>
      <w:r w:rsidRPr="00DE5E81">
        <w:rPr>
          <w:rFonts w:asciiTheme="majorHAnsi" w:hAnsiTheme="majorHAnsi" w:cstheme="majorHAnsi"/>
        </w:rPr>
        <w:t xml:space="preserve"> Patienten skal holde total faste 6 timer før operationen, undtagen for vand og tyndt saftevand, som må drikkes indtil 2 timer før i begrænset mængde. </w:t>
      </w:r>
    </w:p>
    <w:p w14:paraId="02EAF6E2"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Børn skal 2 timer før operationen have paracetamol (f.eks. Panodil) efter vægt.</w:t>
      </w:r>
    </w:p>
    <w:p w14:paraId="0B0DF773"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 xml:space="preserve">Disse købes i håndkøb på apotek. Dosering fremgår af forpakning. Kan administreres som stikpille, tabletter eller, som flydende opløsning. </w:t>
      </w:r>
    </w:p>
    <w:p w14:paraId="31DAA4DD"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 xml:space="preserve">Hvis patienten er blevet syg (temp. &gt; 38.5) kontaktes klinikken om morgenen. </w:t>
      </w:r>
    </w:p>
    <w:p w14:paraId="473A5374" w14:textId="2019ED09" w:rsidR="007A1DCA" w:rsidRDefault="007A1DCA" w:rsidP="007A1DCA">
      <w:pPr>
        <w:rPr>
          <w:rFonts w:asciiTheme="majorHAnsi" w:hAnsiTheme="majorHAnsi" w:cstheme="majorHAnsi"/>
        </w:rPr>
      </w:pPr>
      <w:r w:rsidRPr="00DE5E81">
        <w:rPr>
          <w:rFonts w:asciiTheme="majorHAnsi" w:hAnsiTheme="majorHAnsi" w:cstheme="majorHAnsi"/>
        </w:rPr>
        <w:t xml:space="preserve">(Man kan generelt sige, at et barn ikke kan bedøves rutinemæssigt, hvis det ikke er i stand til at komme i institution.) </w:t>
      </w:r>
    </w:p>
    <w:p w14:paraId="1DA7460B" w14:textId="77777777" w:rsidR="004F10C2" w:rsidRPr="00DE5E81" w:rsidRDefault="004F10C2" w:rsidP="007A1DCA">
      <w:pPr>
        <w:rPr>
          <w:rFonts w:asciiTheme="majorHAnsi" w:hAnsiTheme="majorHAnsi" w:cstheme="majorHAnsi"/>
        </w:rPr>
      </w:pPr>
    </w:p>
    <w:p w14:paraId="23A053A9" w14:textId="77777777" w:rsidR="007A1DCA" w:rsidRPr="00DE5E81" w:rsidRDefault="007A1DCA" w:rsidP="007A1DCA">
      <w:pPr>
        <w:rPr>
          <w:rFonts w:asciiTheme="majorHAnsi" w:hAnsiTheme="majorHAnsi" w:cstheme="majorHAnsi"/>
        </w:rPr>
      </w:pPr>
      <w:r w:rsidRPr="00DE5E81">
        <w:rPr>
          <w:rFonts w:asciiTheme="majorHAnsi" w:hAnsiTheme="majorHAnsi" w:cstheme="majorHAnsi"/>
          <w:b/>
          <w:bCs/>
        </w:rPr>
        <w:t>Efter operationen:</w:t>
      </w:r>
      <w:r w:rsidRPr="00DE5E81">
        <w:rPr>
          <w:rFonts w:asciiTheme="majorHAnsi" w:hAnsiTheme="majorHAnsi" w:cstheme="majorHAnsi"/>
        </w:rPr>
        <w:t xml:space="preserve"> Patient og pårørende er på klinikken ½ -1 time på klinikken. Patienten må ikke være alene det første døgn. Det første døgn kan der komme gammelt blod fra mund og næse, ligesom der kan komme lette smerter, hvorfor man skal have paracetamol (f.eks. Panodil) i hjemmet. Det første døgn skal patienten spise kold blød kost (f eks is, yoghurt, lyst brød etc.).</w:t>
      </w:r>
    </w:p>
    <w:p w14:paraId="58B63357"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Børn kan komme i institution dagen efter.</w:t>
      </w:r>
    </w:p>
    <w:p w14:paraId="60DC6C3E" w14:textId="77777777" w:rsidR="007A1DCA" w:rsidRPr="00DE5E81" w:rsidRDefault="007A1DCA" w:rsidP="007A1DCA">
      <w:pPr>
        <w:rPr>
          <w:rFonts w:asciiTheme="majorHAnsi" w:hAnsiTheme="majorHAnsi" w:cstheme="majorHAnsi"/>
        </w:rPr>
      </w:pPr>
    </w:p>
    <w:p w14:paraId="033165FC" w14:textId="77777777" w:rsidR="007A1DCA" w:rsidRPr="00DE5E81" w:rsidRDefault="007A1DCA" w:rsidP="007A1DCA">
      <w:pPr>
        <w:rPr>
          <w:rFonts w:asciiTheme="majorHAnsi" w:hAnsiTheme="majorHAnsi" w:cstheme="majorHAnsi"/>
        </w:rPr>
      </w:pPr>
      <w:r w:rsidRPr="00DE5E81">
        <w:rPr>
          <w:rFonts w:asciiTheme="majorHAnsi" w:hAnsiTheme="majorHAnsi" w:cstheme="majorHAnsi"/>
        </w:rPr>
        <w:t>VED FRISK RØD BLØDNING FRA MUND OG NÆSE KONTAKTES ØRELÆGEN ELLER SKADESTUEN.</w:t>
      </w:r>
    </w:p>
    <w:p w14:paraId="192237C3" w14:textId="77777777" w:rsidR="007A1DCA" w:rsidRPr="00DE5E81" w:rsidRDefault="007A1DCA" w:rsidP="007A1DCA">
      <w:pPr>
        <w:rPr>
          <w:rFonts w:asciiTheme="majorHAnsi" w:hAnsiTheme="majorHAnsi" w:cstheme="majorHAnsi"/>
        </w:rPr>
      </w:pPr>
    </w:p>
    <w:p w14:paraId="001AF699" w14:textId="2D109A3C" w:rsidR="007A1DCA" w:rsidRPr="00DE5E81" w:rsidRDefault="007A1DCA" w:rsidP="007A1DCA">
      <w:pPr>
        <w:rPr>
          <w:rFonts w:asciiTheme="majorHAnsi" w:hAnsiTheme="majorHAnsi" w:cstheme="majorHAnsi"/>
        </w:rPr>
      </w:pPr>
      <w:r w:rsidRPr="00DE5E81">
        <w:rPr>
          <w:rFonts w:asciiTheme="majorHAnsi" w:hAnsiTheme="majorHAnsi" w:cstheme="majorHAnsi"/>
          <w:b/>
          <w:bCs/>
        </w:rPr>
        <w:t>Kontrol:</w:t>
      </w:r>
      <w:r w:rsidRPr="00DE5E81">
        <w:rPr>
          <w:rFonts w:asciiTheme="majorHAnsi" w:hAnsiTheme="majorHAnsi" w:cstheme="majorHAnsi"/>
        </w:rPr>
        <w:t xml:space="preserve"> efter en måned. Der kan være hævelse under </w:t>
      </w:r>
      <w:proofErr w:type="spellStart"/>
      <w:r w:rsidRPr="00DE5E81">
        <w:rPr>
          <w:rFonts w:asciiTheme="majorHAnsi" w:hAnsiTheme="majorHAnsi" w:cstheme="majorHAnsi"/>
        </w:rPr>
        <w:t>opheling</w:t>
      </w:r>
      <w:proofErr w:type="spellEnd"/>
      <w:r w:rsidRPr="00DE5E81">
        <w:rPr>
          <w:rFonts w:asciiTheme="majorHAnsi" w:hAnsiTheme="majorHAnsi" w:cstheme="majorHAnsi"/>
        </w:rPr>
        <w:t xml:space="preserve"> i næsesvælget, hvorfor man ikke skal fortvivle umiddelbart, hvis virkningen ikke er udtalt. </w:t>
      </w:r>
    </w:p>
    <w:p w14:paraId="18D6400F" w14:textId="77777777" w:rsidR="004F10C2" w:rsidRDefault="004F10C2" w:rsidP="002071D4">
      <w:pPr>
        <w:rPr>
          <w:rFonts w:asciiTheme="majorHAnsi" w:hAnsiTheme="majorHAnsi" w:cstheme="majorHAnsi"/>
        </w:rPr>
      </w:pPr>
    </w:p>
    <w:p w14:paraId="15785A78" w14:textId="673DA519" w:rsidR="004F10C2" w:rsidRDefault="004F10C2" w:rsidP="002071D4">
      <w:pPr>
        <w:rPr>
          <w:rFonts w:asciiTheme="majorHAnsi" w:hAnsiTheme="majorHAnsi" w:cstheme="majorHAnsi"/>
        </w:rPr>
      </w:pPr>
    </w:p>
    <w:p w14:paraId="3A05A499" w14:textId="7AC25002" w:rsidR="00C343E2" w:rsidRPr="00C343E2" w:rsidRDefault="004F10C2" w:rsidP="004F10C2">
      <w:pPr>
        <w:jc w:val="right"/>
        <w:rPr>
          <w:rFonts w:asciiTheme="majorHAnsi" w:hAnsiTheme="majorHAnsi" w:cstheme="majorHAnsi"/>
        </w:rPr>
      </w:pPr>
      <w:r>
        <w:rPr>
          <w:rFonts w:asciiTheme="majorHAnsi" w:hAnsiTheme="majorHAnsi" w:cstheme="majorHAnsi"/>
        </w:rPr>
        <w:tab/>
      </w:r>
    </w:p>
    <w:p w14:paraId="6FF84085" w14:textId="417B9D41" w:rsidR="004F10C2" w:rsidRDefault="004F10C2" w:rsidP="004F10C2">
      <w:pPr>
        <w:shd w:val="clear" w:color="auto" w:fill="FCFCFC"/>
        <w:spacing w:after="225" w:line="240" w:lineRule="auto"/>
        <w:jc w:val="right"/>
        <w:textAlignment w:val="baseline"/>
        <w:rPr>
          <w:rFonts w:asciiTheme="majorHAnsi" w:eastAsia="Times New Roman" w:hAnsiTheme="majorHAnsi" w:cstheme="majorHAnsi"/>
          <w:i/>
          <w:iCs/>
          <w:color w:val="626262"/>
          <w:sz w:val="24"/>
          <w:szCs w:val="24"/>
          <w:lang w:eastAsia="da-DK"/>
        </w:rPr>
      </w:pPr>
    </w:p>
    <w:bookmarkEnd w:id="0"/>
    <w:p w14:paraId="564BC30E" w14:textId="77777777" w:rsidR="000238B5" w:rsidRDefault="000238B5" w:rsidP="000238B5">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Klinik Sirius</w:t>
      </w:r>
    </w:p>
    <w:p w14:paraId="3386C415" w14:textId="77777777" w:rsidR="000238B5" w:rsidRDefault="000238B5" w:rsidP="000238B5">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Søndertoften 22</w:t>
      </w:r>
    </w:p>
    <w:p w14:paraId="7061AB93" w14:textId="541D24DB" w:rsidR="007A7851" w:rsidRPr="00DE5E81" w:rsidRDefault="000238B5" w:rsidP="000238B5">
      <w:pPr>
        <w:shd w:val="clear" w:color="auto" w:fill="FCFCFC"/>
        <w:spacing w:after="225" w:line="240" w:lineRule="auto"/>
        <w:textAlignment w:val="baseline"/>
        <w:rPr>
          <w:rFonts w:asciiTheme="majorHAnsi" w:eastAsia="Times New Roman" w:hAnsiTheme="majorHAnsi" w:cstheme="majorHAnsi"/>
          <w:i/>
          <w:iCs/>
          <w:color w:val="626262"/>
          <w:sz w:val="24"/>
          <w:szCs w:val="24"/>
          <w:lang w:eastAsia="da-DK"/>
        </w:rPr>
      </w:pPr>
      <w:r>
        <w:rPr>
          <w:rFonts w:asciiTheme="majorHAnsi" w:eastAsia="Times New Roman" w:hAnsiTheme="majorHAnsi" w:cstheme="majorHAnsi"/>
          <w:i/>
          <w:iCs/>
          <w:color w:val="626262"/>
          <w:sz w:val="24"/>
          <w:szCs w:val="24"/>
          <w:lang w:eastAsia="da-DK"/>
        </w:rPr>
        <w:t>6800 Varde</w:t>
      </w:r>
    </w:p>
    <w:sectPr w:rsidR="007A7851" w:rsidRPr="00DE5E81" w:rsidSect="00C6254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60E4" w14:textId="77777777" w:rsidR="0072674B" w:rsidRDefault="0072674B" w:rsidP="0072674B">
      <w:pPr>
        <w:spacing w:after="0" w:line="240" w:lineRule="auto"/>
      </w:pPr>
      <w:r>
        <w:separator/>
      </w:r>
    </w:p>
  </w:endnote>
  <w:endnote w:type="continuationSeparator" w:id="0">
    <w:p w14:paraId="6CA21F41" w14:textId="77777777" w:rsidR="0072674B" w:rsidRDefault="0072674B" w:rsidP="0072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F134" w14:textId="77777777" w:rsidR="0072674B" w:rsidRDefault="0072674B" w:rsidP="0072674B">
      <w:pPr>
        <w:spacing w:after="0" w:line="240" w:lineRule="auto"/>
      </w:pPr>
      <w:r>
        <w:separator/>
      </w:r>
    </w:p>
  </w:footnote>
  <w:footnote w:type="continuationSeparator" w:id="0">
    <w:p w14:paraId="22A7606F" w14:textId="77777777" w:rsidR="0072674B" w:rsidRDefault="0072674B" w:rsidP="0072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87B6" w14:textId="306F8630" w:rsidR="00C6254E" w:rsidRPr="00C6254E" w:rsidRDefault="000238B5" w:rsidP="0072674B">
    <w:pPr>
      <w:spacing w:line="264" w:lineRule="auto"/>
      <w:ind w:left="1304" w:firstLine="1304"/>
      <w:rPr>
        <w:rFonts w:cstheme="minorHAnsi"/>
      </w:rPr>
    </w:pPr>
    <w:sdt>
      <w:sdtPr>
        <w:rPr>
          <w:rFonts w:cstheme="minorHAnsi"/>
          <w:sz w:val="24"/>
          <w:szCs w:val="24"/>
        </w:rPr>
        <w:alias w:val="Titel"/>
        <w:id w:val="559447503"/>
        <w:placeholder>
          <w:docPart w:val="6AA5CC9E3A454DF7BE94A247C8284241"/>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color w:val="4472C4" w:themeColor="accent1"/>
            <w:sz w:val="20"/>
            <w:szCs w:val="20"/>
          </w:rPr>
          <w:t>[Dokumenttitel]</w:t>
        </w:r>
      </w:sdtContent>
    </w:sdt>
    <w:r w:rsidR="0072674B" w:rsidRPr="00C6254E">
      <w:rPr>
        <w:rFonts w:cstheme="minorHAnsi"/>
        <w:sz w:val="24"/>
        <w:szCs w:val="24"/>
      </w:rPr>
      <w:t xml:space="preserve"> </w:t>
    </w:r>
    <w:r w:rsidR="0072674B">
      <w:rPr>
        <w:noProof/>
        <w:color w:val="000000"/>
      </w:rPr>
      <mc:AlternateContent>
        <mc:Choice Requires="wps">
          <w:drawing>
            <wp:anchor distT="0" distB="0" distL="114300" distR="114300" simplePos="0" relativeHeight="251659264" behindDoc="0" locked="0" layoutInCell="1" allowOverlap="1" wp14:anchorId="577BE9B6" wp14:editId="47C1E27A">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BE522D0"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257A"/>
    <w:multiLevelType w:val="hybridMultilevel"/>
    <w:tmpl w:val="BA780B84"/>
    <w:lvl w:ilvl="0" w:tplc="B130FC1E">
      <w:start w:val="1"/>
      <w:numFmt w:val="bullet"/>
      <w:lvlText w:val="-"/>
      <w:lvlJc w:val="left"/>
      <w:pPr>
        <w:ind w:left="502"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16555A5"/>
    <w:multiLevelType w:val="hybridMultilevel"/>
    <w:tmpl w:val="D23E47E0"/>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2D911BD"/>
    <w:multiLevelType w:val="hybridMultilevel"/>
    <w:tmpl w:val="4206408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5442AC"/>
    <w:multiLevelType w:val="hybridMultilevel"/>
    <w:tmpl w:val="AB80D6A2"/>
    <w:lvl w:ilvl="0" w:tplc="05841A4E">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60345B"/>
    <w:multiLevelType w:val="hybridMultilevel"/>
    <w:tmpl w:val="84041B3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3B2E0E6D"/>
    <w:multiLevelType w:val="hybridMultilevel"/>
    <w:tmpl w:val="34B0A4E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C053C39"/>
    <w:multiLevelType w:val="hybridMultilevel"/>
    <w:tmpl w:val="38AED58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51007B"/>
    <w:multiLevelType w:val="hybridMultilevel"/>
    <w:tmpl w:val="2BCA3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84B7D31"/>
    <w:multiLevelType w:val="hybridMultilevel"/>
    <w:tmpl w:val="97680512"/>
    <w:lvl w:ilvl="0" w:tplc="726E6BBC">
      <w:numFmt w:val="bullet"/>
      <w:lvlText w:val="-"/>
      <w:lvlJc w:val="left"/>
      <w:pPr>
        <w:ind w:left="720" w:hanging="360"/>
      </w:pPr>
      <w:rPr>
        <w:rFonts w:ascii="Calibri Light" w:eastAsiaTheme="minorHAns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941477"/>
    <w:multiLevelType w:val="hybridMultilevel"/>
    <w:tmpl w:val="99247D0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2910124"/>
    <w:multiLevelType w:val="hybridMultilevel"/>
    <w:tmpl w:val="DC368322"/>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B414417"/>
    <w:multiLevelType w:val="hybridMultilevel"/>
    <w:tmpl w:val="F230AC8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26549799">
    <w:abstractNumId w:val="2"/>
  </w:num>
  <w:num w:numId="2" w16cid:durableId="821392283">
    <w:abstractNumId w:val="8"/>
  </w:num>
  <w:num w:numId="3" w16cid:durableId="668600788">
    <w:abstractNumId w:val="9"/>
  </w:num>
  <w:num w:numId="4" w16cid:durableId="1824736703">
    <w:abstractNumId w:val="3"/>
  </w:num>
  <w:num w:numId="5" w16cid:durableId="108664346">
    <w:abstractNumId w:val="6"/>
  </w:num>
  <w:num w:numId="6" w16cid:durableId="207181609">
    <w:abstractNumId w:val="4"/>
  </w:num>
  <w:num w:numId="7" w16cid:durableId="1541815639">
    <w:abstractNumId w:val="5"/>
  </w:num>
  <w:num w:numId="8" w16cid:durableId="430275466">
    <w:abstractNumId w:val="10"/>
  </w:num>
  <w:num w:numId="9" w16cid:durableId="2021738715">
    <w:abstractNumId w:val="1"/>
  </w:num>
  <w:num w:numId="10" w16cid:durableId="365717000">
    <w:abstractNumId w:val="11"/>
  </w:num>
  <w:num w:numId="11" w16cid:durableId="1401097759">
    <w:abstractNumId w:val="0"/>
  </w:num>
  <w:num w:numId="12" w16cid:durableId="510801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4B"/>
    <w:rsid w:val="000238B5"/>
    <w:rsid w:val="00120EAC"/>
    <w:rsid w:val="001C794F"/>
    <w:rsid w:val="002071D4"/>
    <w:rsid w:val="004F08A8"/>
    <w:rsid w:val="004F10C2"/>
    <w:rsid w:val="005E66F3"/>
    <w:rsid w:val="0072674B"/>
    <w:rsid w:val="007A1DCA"/>
    <w:rsid w:val="007A7851"/>
    <w:rsid w:val="00832BC6"/>
    <w:rsid w:val="00A44BF9"/>
    <w:rsid w:val="00BF2711"/>
    <w:rsid w:val="00C343E2"/>
    <w:rsid w:val="00DE5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9EFE"/>
  <w15:chartTrackingRefBased/>
  <w15:docId w15:val="{1B6B4740-A414-4C7F-94A7-1CD2CBB3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74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2674B"/>
    <w:pPr>
      <w:ind w:left="720"/>
      <w:contextualSpacing/>
    </w:pPr>
  </w:style>
  <w:style w:type="paragraph" w:styleId="Sidehoved">
    <w:name w:val="header"/>
    <w:basedOn w:val="Normal"/>
    <w:link w:val="SidehovedTegn"/>
    <w:uiPriority w:val="99"/>
    <w:unhideWhenUsed/>
    <w:rsid w:val="007267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674B"/>
  </w:style>
  <w:style w:type="paragraph" w:styleId="Sidefod">
    <w:name w:val="footer"/>
    <w:basedOn w:val="Normal"/>
    <w:link w:val="SidefodTegn"/>
    <w:uiPriority w:val="99"/>
    <w:unhideWhenUsed/>
    <w:rsid w:val="007267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A5CC9E3A454DF7BE94A247C8284241"/>
        <w:category>
          <w:name w:val="Generelt"/>
          <w:gallery w:val="placeholder"/>
        </w:category>
        <w:types>
          <w:type w:val="bbPlcHdr"/>
        </w:types>
        <w:behaviors>
          <w:behavior w:val="content"/>
        </w:behaviors>
        <w:guid w:val="{4C482C2E-5484-490D-9E6A-C39A269D0137}"/>
      </w:docPartPr>
      <w:docPartBody>
        <w:p w:rsidR="007C616B" w:rsidRDefault="005F5D20" w:rsidP="005F5D20">
          <w:pPr>
            <w:pStyle w:val="6AA5CC9E3A454DF7BE94A247C8284241"/>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20"/>
    <w:rsid w:val="005F5D20"/>
    <w:rsid w:val="007C61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AA5CC9E3A454DF7BE94A247C8284241">
    <w:name w:val="6AA5CC9E3A454DF7BE94A247C8284241"/>
    <w:rsid w:val="005F5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Øre-, Næse-, Halsklinikken Varde v/ Speciallæge Jalal Saadi</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Sygeplejerske</dc:creator>
  <cp:keywords/>
  <dc:description/>
  <cp:lastModifiedBy>Jalal Saadi</cp:lastModifiedBy>
  <cp:revision>2</cp:revision>
  <cp:lastPrinted>2021-11-09T08:30:00Z</cp:lastPrinted>
  <dcterms:created xsi:type="dcterms:W3CDTF">2022-05-30T13:37:00Z</dcterms:created>
  <dcterms:modified xsi:type="dcterms:W3CDTF">2022-05-30T13:37:00Z</dcterms:modified>
</cp:coreProperties>
</file>